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54C3">
      <w:pPr>
        <w:spacing w:before="63" w:line="290" w:lineRule="auto"/>
        <w:ind w:right="1001"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6"/>
          <w:szCs w:val="36"/>
          <w:highlight w:val="none"/>
          <w:lang w:eastAsia="zh-CN"/>
        </w:rPr>
        <w:t>附件3: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/>
          <w:sz w:val="36"/>
          <w:szCs w:val="36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年全国高校商业精英挑战赛创新创业竞赛</w:t>
      </w:r>
    </w:p>
    <w:p w14:paraId="647AC159">
      <w:pPr>
        <w:spacing w:before="63" w:line="290" w:lineRule="auto"/>
        <w:ind w:right="1001"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创业计划赛道项目路演评分标准</w:t>
      </w:r>
    </w:p>
    <w:p w14:paraId="1B568DA9">
      <w:pPr>
        <w:spacing w:before="63" w:line="290" w:lineRule="auto"/>
        <w:ind w:left="1015" w:right="1001" w:firstLine="13"/>
        <w:jc w:val="center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5"/>
          <w:sz w:val="32"/>
          <w:szCs w:val="32"/>
        </w:rPr>
        <w:t>（适用于</w:t>
      </w:r>
      <w:bookmarkStart w:id="0" w:name="bookmark34"/>
      <w:bookmarkEnd w:id="0"/>
      <w:r>
        <w:rPr>
          <w:rFonts w:ascii="SimHei" w:hAnsi="SimHei" w:eastAsia="SimHei" w:cs="SimHei"/>
          <w:spacing w:val="-3"/>
          <w:sz w:val="32"/>
          <w:szCs w:val="32"/>
        </w:rPr>
        <w:t>所有组别）</w:t>
      </w:r>
    </w:p>
    <w:p w14:paraId="3359E77B">
      <w:pPr>
        <w:spacing w:line="92" w:lineRule="exact"/>
      </w:pPr>
    </w:p>
    <w:tbl>
      <w:tblPr>
        <w:tblStyle w:val="8"/>
        <w:tblW w:w="10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06"/>
        <w:gridCol w:w="1058"/>
        <w:gridCol w:w="6218"/>
        <w:gridCol w:w="1339"/>
      </w:tblGrid>
      <w:tr w14:paraId="7C56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993" w:type="dxa"/>
            <w:tcBorders>
              <w:right w:val="single" w:color="000000" w:sz="4" w:space="0"/>
            </w:tcBorders>
            <w:shd w:val="clear" w:color="auto" w:fill="D0DDEF"/>
            <w:vAlign w:val="center"/>
          </w:tcPr>
          <w:p w14:paraId="75E0376C">
            <w:pPr>
              <w:spacing w:before="68" w:line="221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4"/>
                <w:szCs w:val="24"/>
              </w:rPr>
              <w:t>评分内容</w:t>
            </w: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center"/>
          </w:tcPr>
          <w:p w14:paraId="7A726F89">
            <w:pPr>
              <w:spacing w:before="68" w:line="222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58" w:type="dxa"/>
            <w:vAlign w:val="center"/>
          </w:tcPr>
          <w:p w14:paraId="6696B782">
            <w:pPr>
              <w:spacing w:before="68" w:line="221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4"/>
                <w:szCs w:val="24"/>
              </w:rPr>
              <w:t>评分项目</w:t>
            </w:r>
          </w:p>
        </w:tc>
        <w:tc>
          <w:tcPr>
            <w:tcW w:w="6218" w:type="dxa"/>
            <w:vAlign w:val="center"/>
          </w:tcPr>
          <w:p w14:paraId="33D74A01">
            <w:pPr>
              <w:spacing w:before="68" w:line="221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4"/>
                <w:szCs w:val="24"/>
              </w:rPr>
              <w:t>评分指标</w:t>
            </w:r>
          </w:p>
        </w:tc>
        <w:tc>
          <w:tcPr>
            <w:tcW w:w="1339" w:type="dxa"/>
            <w:vAlign w:val="center"/>
          </w:tcPr>
          <w:p w14:paraId="45B0BAA3">
            <w:pPr>
              <w:spacing w:before="192" w:line="221" w:lineRule="auto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SimSun" w:hAnsi="SimSun" w:eastAsia="SimSun" w:cs="SimSun"/>
                <w:spacing w:val="-2"/>
                <w:sz w:val="24"/>
                <w:szCs w:val="24"/>
              </w:rPr>
              <w:t>总分100 分</w:t>
            </w:r>
          </w:p>
        </w:tc>
      </w:tr>
      <w:tr w14:paraId="3B8C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2" w:hRule="atLeast"/>
        </w:trPr>
        <w:tc>
          <w:tcPr>
            <w:tcW w:w="993" w:type="dxa"/>
            <w:vMerge w:val="restart"/>
            <w:tcBorders>
              <w:bottom w:val="nil"/>
              <w:right w:val="single" w:color="000000" w:sz="4" w:space="0"/>
            </w:tcBorders>
            <w:shd w:val="clear" w:color="auto" w:fill="D0DDEF"/>
            <w:vAlign w:val="top"/>
          </w:tcPr>
          <w:p w14:paraId="056E1522">
            <w:pPr>
              <w:spacing w:line="251" w:lineRule="auto"/>
              <w:rPr>
                <w:rFonts w:ascii="Arial"/>
                <w:sz w:val="21"/>
              </w:rPr>
            </w:pPr>
          </w:p>
          <w:p w14:paraId="241F9855">
            <w:pPr>
              <w:spacing w:line="251" w:lineRule="auto"/>
              <w:rPr>
                <w:rFonts w:ascii="Arial"/>
                <w:sz w:val="21"/>
              </w:rPr>
            </w:pPr>
          </w:p>
          <w:p w14:paraId="24F74F31">
            <w:pPr>
              <w:spacing w:line="251" w:lineRule="auto"/>
              <w:rPr>
                <w:rFonts w:ascii="Arial"/>
                <w:sz w:val="21"/>
              </w:rPr>
            </w:pPr>
          </w:p>
          <w:p w14:paraId="782BF31F">
            <w:pPr>
              <w:spacing w:line="252" w:lineRule="auto"/>
              <w:rPr>
                <w:rFonts w:ascii="Arial"/>
                <w:sz w:val="21"/>
              </w:rPr>
            </w:pPr>
          </w:p>
          <w:p w14:paraId="1C8B40C3">
            <w:pPr>
              <w:spacing w:line="252" w:lineRule="auto"/>
              <w:rPr>
                <w:rFonts w:ascii="Arial"/>
                <w:sz w:val="21"/>
              </w:rPr>
            </w:pPr>
          </w:p>
          <w:p w14:paraId="6F01D329">
            <w:pPr>
              <w:spacing w:line="252" w:lineRule="auto"/>
              <w:rPr>
                <w:rFonts w:ascii="Arial"/>
                <w:sz w:val="21"/>
              </w:rPr>
            </w:pPr>
          </w:p>
          <w:p w14:paraId="03EE01D8">
            <w:pPr>
              <w:spacing w:line="252" w:lineRule="auto"/>
              <w:rPr>
                <w:rFonts w:ascii="Arial"/>
                <w:sz w:val="21"/>
              </w:rPr>
            </w:pPr>
          </w:p>
          <w:p w14:paraId="6C03B178">
            <w:pPr>
              <w:spacing w:line="252" w:lineRule="auto"/>
              <w:rPr>
                <w:rFonts w:ascii="Arial"/>
                <w:sz w:val="21"/>
              </w:rPr>
            </w:pPr>
          </w:p>
          <w:p w14:paraId="0F59D312">
            <w:pPr>
              <w:spacing w:before="69"/>
              <w:ind w:left="18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Part1:</w:t>
            </w:r>
          </w:p>
          <w:p w14:paraId="5B464514">
            <w:pPr>
              <w:spacing w:before="236" w:line="221" w:lineRule="auto"/>
              <w:ind w:left="2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商业</w:t>
            </w:r>
          </w:p>
          <w:p w14:paraId="5C093F40">
            <w:pPr>
              <w:spacing w:before="256" w:line="220" w:lineRule="auto"/>
              <w:ind w:left="18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计划书</w:t>
            </w:r>
          </w:p>
          <w:p w14:paraId="6EC0E5F5">
            <w:pPr>
              <w:spacing w:before="248" w:line="199" w:lineRule="auto"/>
              <w:ind w:left="2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60</w:t>
            </w:r>
            <w:r>
              <w:rPr>
                <w:rFonts w:ascii="SimSun" w:hAnsi="SimSun" w:eastAsia="SimSun" w:cs="SimSun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分</w:t>
            </w: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top"/>
          </w:tcPr>
          <w:p w14:paraId="39249C18">
            <w:pPr>
              <w:spacing w:line="458" w:lineRule="auto"/>
              <w:rPr>
                <w:rFonts w:ascii="Arial"/>
                <w:sz w:val="21"/>
              </w:rPr>
            </w:pPr>
          </w:p>
          <w:p w14:paraId="757E6BAC">
            <w:pPr>
              <w:spacing w:before="68" w:line="242" w:lineRule="auto"/>
              <w:ind w:left="3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058" w:type="dxa"/>
            <w:vAlign w:val="top"/>
          </w:tcPr>
          <w:p w14:paraId="029060A9">
            <w:pPr>
              <w:spacing w:line="458" w:lineRule="auto"/>
              <w:rPr>
                <w:rFonts w:ascii="Arial"/>
                <w:sz w:val="21"/>
              </w:rPr>
            </w:pPr>
          </w:p>
          <w:p w14:paraId="4EF0A715">
            <w:pPr>
              <w:spacing w:before="68" w:line="221" w:lineRule="auto"/>
              <w:ind w:left="25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创新性</w:t>
            </w:r>
          </w:p>
        </w:tc>
        <w:tc>
          <w:tcPr>
            <w:tcW w:w="6218" w:type="dxa"/>
            <w:vAlign w:val="top"/>
          </w:tcPr>
          <w:p w14:paraId="4F2944DF">
            <w:pPr>
              <w:spacing w:before="192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（1）原始创意是否具有一定的创新性或一定的技术含量。</w:t>
            </w:r>
          </w:p>
          <w:p w14:paraId="03BDA724">
            <w:pPr>
              <w:spacing w:before="108" w:line="269" w:lineRule="auto"/>
              <w:ind w:left="82" w:right="123" w:firstLine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（2）是否将专业技术、方法和思维可应用在销售、研发、生产、物流、信息、人力、管理等方面。</w:t>
            </w:r>
          </w:p>
        </w:tc>
        <w:tc>
          <w:tcPr>
            <w:tcW w:w="1339" w:type="dxa"/>
            <w:vAlign w:val="top"/>
          </w:tcPr>
          <w:p w14:paraId="1491FE70">
            <w:pPr>
              <w:spacing w:line="458" w:lineRule="auto"/>
              <w:jc w:val="center"/>
              <w:rPr>
                <w:rFonts w:ascii="Arial"/>
                <w:sz w:val="21"/>
              </w:rPr>
            </w:pPr>
          </w:p>
          <w:p w14:paraId="75A001D9">
            <w:pPr>
              <w:spacing w:before="68" w:line="241" w:lineRule="auto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20</w:t>
            </w:r>
          </w:p>
        </w:tc>
      </w:tr>
      <w:tr w14:paraId="4E27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47" w:hRule="atLeast"/>
        </w:trPr>
        <w:tc>
          <w:tcPr>
            <w:tcW w:w="993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42ED4EF4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top"/>
          </w:tcPr>
          <w:p w14:paraId="7A238356">
            <w:pPr>
              <w:spacing w:line="267" w:lineRule="auto"/>
              <w:rPr>
                <w:rFonts w:ascii="Arial"/>
                <w:sz w:val="21"/>
              </w:rPr>
            </w:pPr>
          </w:p>
          <w:p w14:paraId="55697539">
            <w:pPr>
              <w:spacing w:line="267" w:lineRule="auto"/>
              <w:rPr>
                <w:rFonts w:ascii="Arial"/>
                <w:sz w:val="21"/>
              </w:rPr>
            </w:pPr>
          </w:p>
          <w:p w14:paraId="38CEC75E">
            <w:pPr>
              <w:spacing w:line="267" w:lineRule="auto"/>
              <w:rPr>
                <w:rFonts w:ascii="Arial"/>
                <w:sz w:val="21"/>
              </w:rPr>
            </w:pPr>
          </w:p>
          <w:p w14:paraId="2651205D">
            <w:pPr>
              <w:spacing w:line="268" w:lineRule="auto"/>
              <w:rPr>
                <w:rFonts w:ascii="Arial"/>
                <w:sz w:val="21"/>
              </w:rPr>
            </w:pPr>
          </w:p>
          <w:p w14:paraId="38D18876">
            <w:pPr>
              <w:spacing w:line="268" w:lineRule="auto"/>
              <w:rPr>
                <w:rFonts w:ascii="Arial"/>
                <w:sz w:val="21"/>
              </w:rPr>
            </w:pPr>
          </w:p>
          <w:p w14:paraId="100BACAC">
            <w:pPr>
              <w:spacing w:before="68" w:line="242" w:lineRule="auto"/>
              <w:ind w:left="30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058" w:type="dxa"/>
            <w:vAlign w:val="top"/>
          </w:tcPr>
          <w:p w14:paraId="7C5BF389">
            <w:pPr>
              <w:spacing w:line="267" w:lineRule="auto"/>
              <w:rPr>
                <w:rFonts w:ascii="Arial"/>
                <w:sz w:val="21"/>
              </w:rPr>
            </w:pPr>
          </w:p>
          <w:p w14:paraId="42E97182">
            <w:pPr>
              <w:spacing w:line="267" w:lineRule="auto"/>
              <w:rPr>
                <w:rFonts w:ascii="Arial"/>
                <w:sz w:val="21"/>
              </w:rPr>
            </w:pPr>
          </w:p>
          <w:p w14:paraId="25F6A817">
            <w:pPr>
              <w:spacing w:line="267" w:lineRule="auto"/>
              <w:rPr>
                <w:rFonts w:ascii="Arial"/>
                <w:sz w:val="21"/>
              </w:rPr>
            </w:pPr>
          </w:p>
          <w:p w14:paraId="15BCFC19">
            <w:pPr>
              <w:spacing w:line="268" w:lineRule="auto"/>
              <w:rPr>
                <w:rFonts w:ascii="Arial"/>
                <w:sz w:val="21"/>
              </w:rPr>
            </w:pPr>
          </w:p>
          <w:p w14:paraId="636574AD">
            <w:pPr>
              <w:spacing w:line="268" w:lineRule="auto"/>
              <w:rPr>
                <w:rFonts w:ascii="Arial"/>
                <w:sz w:val="21"/>
              </w:rPr>
            </w:pPr>
          </w:p>
          <w:p w14:paraId="7D52768C">
            <w:pPr>
              <w:spacing w:before="68" w:line="221" w:lineRule="auto"/>
              <w:ind w:left="26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商业性</w:t>
            </w:r>
          </w:p>
        </w:tc>
        <w:tc>
          <w:tcPr>
            <w:tcW w:w="6218" w:type="dxa"/>
            <w:vAlign w:val="top"/>
          </w:tcPr>
          <w:p w14:paraId="1E2646A8">
            <w:pPr>
              <w:spacing w:before="178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（1）商业模式是否具有较好的完整性和可行性。</w:t>
            </w:r>
          </w:p>
          <w:p w14:paraId="5E285623">
            <w:pPr>
              <w:spacing w:before="108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（2）目标市场及客户定位是否准确。</w:t>
            </w:r>
          </w:p>
          <w:p w14:paraId="4735A559">
            <w:pPr>
              <w:spacing w:before="108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（3）盈利模式是否清晰合理。</w:t>
            </w:r>
          </w:p>
          <w:p w14:paraId="0445E41C">
            <w:pPr>
              <w:spacing w:before="108" w:line="269" w:lineRule="auto"/>
              <w:ind w:left="84" w:right="122" w:firstLine="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（4）产品营销策略与渠道策略（渠道的选择、设计和管理）是否合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理易操作。</w:t>
            </w:r>
          </w:p>
          <w:p w14:paraId="23BDC71D">
            <w:pPr>
              <w:spacing w:before="108" w:line="269" w:lineRule="auto"/>
              <w:ind w:left="83" w:right="123" w:firstLine="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（5）考察行业调查研究的程度，项目市场、技术等调查工作是否形</w:t>
            </w:r>
            <w:r>
              <w:rPr>
                <w:rFonts w:ascii="SimSun" w:hAnsi="SimSun" w:eastAsia="SimSun" w:cs="SimSun"/>
                <w:sz w:val="21"/>
                <w:szCs w:val="21"/>
              </w:rPr>
              <w:t>成一手资料，并分析面对的市场现状、发展趋势和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产品发展潜力。</w:t>
            </w:r>
          </w:p>
          <w:p w14:paraId="5BFF00E1">
            <w:pPr>
              <w:spacing w:before="109" w:line="220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（6）竞争对手分析，结合本方案研究如何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战胜对手立足市场。</w:t>
            </w:r>
          </w:p>
        </w:tc>
        <w:tc>
          <w:tcPr>
            <w:tcW w:w="1339" w:type="dxa"/>
            <w:vAlign w:val="top"/>
          </w:tcPr>
          <w:p w14:paraId="4B212496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08511133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8AA1503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4A9CEFC8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2D570D60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130BA87E">
            <w:pPr>
              <w:spacing w:before="68" w:line="241" w:lineRule="auto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30</w:t>
            </w:r>
          </w:p>
        </w:tc>
      </w:tr>
      <w:tr w14:paraId="558C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2" w:hRule="atLeast"/>
        </w:trPr>
        <w:tc>
          <w:tcPr>
            <w:tcW w:w="993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3AF54DD8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top"/>
          </w:tcPr>
          <w:p w14:paraId="15462428">
            <w:pPr>
              <w:spacing w:line="311" w:lineRule="auto"/>
              <w:rPr>
                <w:rFonts w:ascii="Arial"/>
                <w:sz w:val="21"/>
              </w:rPr>
            </w:pPr>
          </w:p>
          <w:p w14:paraId="4654D2E8">
            <w:pPr>
              <w:spacing w:line="311" w:lineRule="auto"/>
              <w:rPr>
                <w:rFonts w:ascii="Arial"/>
                <w:sz w:val="21"/>
              </w:rPr>
            </w:pPr>
          </w:p>
          <w:p w14:paraId="2E6DF237">
            <w:pPr>
              <w:spacing w:before="68" w:line="241" w:lineRule="auto"/>
              <w:ind w:left="30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058" w:type="dxa"/>
            <w:vAlign w:val="top"/>
          </w:tcPr>
          <w:p w14:paraId="29C02DC8">
            <w:pPr>
              <w:spacing w:line="311" w:lineRule="auto"/>
              <w:rPr>
                <w:rFonts w:ascii="Arial"/>
                <w:sz w:val="21"/>
              </w:rPr>
            </w:pPr>
          </w:p>
          <w:p w14:paraId="32CA2986">
            <w:pPr>
              <w:spacing w:line="311" w:lineRule="auto"/>
              <w:rPr>
                <w:rFonts w:ascii="Arial"/>
                <w:sz w:val="21"/>
              </w:rPr>
            </w:pPr>
          </w:p>
          <w:p w14:paraId="18DE6E58">
            <w:pPr>
              <w:spacing w:before="69" w:line="221" w:lineRule="auto"/>
              <w:ind w:left="17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团队架构</w:t>
            </w:r>
          </w:p>
        </w:tc>
        <w:tc>
          <w:tcPr>
            <w:tcW w:w="6218" w:type="dxa"/>
            <w:vAlign w:val="top"/>
          </w:tcPr>
          <w:p w14:paraId="69D7F433">
            <w:pPr>
              <w:spacing w:before="175" w:line="269" w:lineRule="auto"/>
              <w:ind w:left="89" w:right="123" w:hanging="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（1）管理团队各成员的教育和工作背景、价值观念、擅长领域，成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员的分工和业务是否互补。</w:t>
            </w:r>
          </w:p>
          <w:p w14:paraId="324BB218">
            <w:pPr>
              <w:spacing w:before="108" w:line="220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（2）团队的组织架构、人员配置安排是否科学。</w:t>
            </w:r>
          </w:p>
          <w:p w14:paraId="2D2613FC">
            <w:pPr>
              <w:spacing w:before="110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（3）团队是否具有实现项目突破的具体方案和可能的资源基础。</w:t>
            </w:r>
          </w:p>
        </w:tc>
        <w:tc>
          <w:tcPr>
            <w:tcW w:w="1339" w:type="dxa"/>
            <w:vAlign w:val="top"/>
          </w:tcPr>
          <w:p w14:paraId="539847C6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06334BAF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64D26B30">
            <w:pPr>
              <w:spacing w:before="68" w:line="241" w:lineRule="auto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10</w:t>
            </w:r>
          </w:p>
        </w:tc>
      </w:tr>
      <w:tr w14:paraId="33046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993" w:type="dxa"/>
            <w:tcBorders>
              <w:right w:val="nil"/>
            </w:tcBorders>
            <w:vAlign w:val="top"/>
          </w:tcPr>
          <w:p w14:paraId="00F954D5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top"/>
          </w:tcPr>
          <w:p w14:paraId="21636B24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  <w:vAlign w:val="top"/>
          </w:tcPr>
          <w:p w14:paraId="7DC51522">
            <w:pPr>
              <w:rPr>
                <w:rFonts w:ascii="Arial"/>
                <w:sz w:val="21"/>
              </w:rPr>
            </w:pPr>
          </w:p>
        </w:tc>
        <w:tc>
          <w:tcPr>
            <w:tcW w:w="6218" w:type="dxa"/>
            <w:tcBorders>
              <w:left w:val="nil"/>
            </w:tcBorders>
            <w:vAlign w:val="top"/>
          </w:tcPr>
          <w:p w14:paraId="0A0AE152">
            <w:pPr>
              <w:spacing w:before="224" w:line="219" w:lineRule="auto"/>
              <w:ind w:left="34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4"/>
                <w:szCs w:val="24"/>
              </w:rPr>
              <w:t>第一部分：商业计划书总分</w:t>
            </w:r>
          </w:p>
        </w:tc>
        <w:tc>
          <w:tcPr>
            <w:tcW w:w="1339" w:type="dxa"/>
            <w:vAlign w:val="top"/>
          </w:tcPr>
          <w:p w14:paraId="21134C54">
            <w:pPr>
              <w:spacing w:before="268" w:line="22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60</w:t>
            </w:r>
          </w:p>
        </w:tc>
      </w:tr>
      <w:tr w14:paraId="3BC1A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3" w:hRule="atLeast"/>
        </w:trPr>
        <w:tc>
          <w:tcPr>
            <w:tcW w:w="993" w:type="dxa"/>
            <w:vMerge w:val="restart"/>
            <w:tcBorders>
              <w:bottom w:val="nil"/>
              <w:right w:val="single" w:color="000000" w:sz="4" w:space="0"/>
            </w:tcBorders>
            <w:shd w:val="clear" w:color="auto" w:fill="D0DDEF"/>
            <w:vAlign w:val="top"/>
          </w:tcPr>
          <w:p w14:paraId="6107F758">
            <w:pPr>
              <w:spacing w:line="281" w:lineRule="auto"/>
              <w:rPr>
                <w:rFonts w:ascii="Arial"/>
                <w:sz w:val="21"/>
              </w:rPr>
            </w:pPr>
          </w:p>
          <w:p w14:paraId="7FB4492D">
            <w:pPr>
              <w:spacing w:line="281" w:lineRule="auto"/>
              <w:rPr>
                <w:rFonts w:ascii="Arial"/>
                <w:sz w:val="21"/>
              </w:rPr>
            </w:pPr>
          </w:p>
          <w:p w14:paraId="6ABDE41A">
            <w:pPr>
              <w:spacing w:line="281" w:lineRule="auto"/>
              <w:rPr>
                <w:rFonts w:ascii="Arial"/>
                <w:sz w:val="21"/>
              </w:rPr>
            </w:pPr>
          </w:p>
          <w:p w14:paraId="093C0113">
            <w:pPr>
              <w:spacing w:before="68"/>
              <w:ind w:left="18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Part2:</w:t>
            </w:r>
          </w:p>
          <w:p w14:paraId="3EB4FB33">
            <w:pPr>
              <w:spacing w:before="236" w:line="222" w:lineRule="auto"/>
              <w:ind w:left="18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展示与</w:t>
            </w:r>
          </w:p>
          <w:p w14:paraId="28BABFFE">
            <w:pPr>
              <w:spacing w:before="255" w:line="221" w:lineRule="auto"/>
              <w:ind w:left="29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答辩</w:t>
            </w:r>
          </w:p>
          <w:p w14:paraId="2ECF3918">
            <w:pPr>
              <w:spacing w:before="247" w:line="199" w:lineRule="auto"/>
              <w:ind w:left="2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40</w:t>
            </w:r>
            <w:r>
              <w:rPr>
                <w:rFonts w:ascii="SimSun" w:hAnsi="SimSun" w:eastAsia="SimSun" w:cs="SimSun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分</w:t>
            </w: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top"/>
          </w:tcPr>
          <w:p w14:paraId="2B200D65">
            <w:pPr>
              <w:spacing w:line="312" w:lineRule="auto"/>
              <w:rPr>
                <w:rFonts w:ascii="Arial"/>
                <w:sz w:val="21"/>
              </w:rPr>
            </w:pPr>
          </w:p>
          <w:p w14:paraId="5A2F2877">
            <w:pPr>
              <w:spacing w:line="312" w:lineRule="auto"/>
              <w:rPr>
                <w:rFonts w:ascii="Arial"/>
                <w:sz w:val="21"/>
              </w:rPr>
            </w:pPr>
          </w:p>
          <w:p w14:paraId="6F862424">
            <w:pPr>
              <w:spacing w:before="68" w:line="242" w:lineRule="auto"/>
              <w:ind w:left="29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058" w:type="dxa"/>
            <w:vAlign w:val="top"/>
          </w:tcPr>
          <w:p w14:paraId="258752E9">
            <w:pPr>
              <w:spacing w:line="447" w:lineRule="auto"/>
              <w:rPr>
                <w:rFonts w:ascii="Arial"/>
                <w:sz w:val="21"/>
              </w:rPr>
            </w:pPr>
          </w:p>
          <w:p w14:paraId="672E059C">
            <w:pPr>
              <w:spacing w:before="68" w:line="314" w:lineRule="auto"/>
              <w:ind w:left="375" w:right="142" w:hanging="21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项目展示</w:t>
            </w: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陈述</w:t>
            </w:r>
          </w:p>
        </w:tc>
        <w:tc>
          <w:tcPr>
            <w:tcW w:w="6218" w:type="dxa"/>
            <w:vAlign w:val="top"/>
          </w:tcPr>
          <w:p w14:paraId="4F199CD9">
            <w:pPr>
              <w:spacing w:before="182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（1）项目创新创业的思路是否清晰。</w:t>
            </w:r>
          </w:p>
          <w:p w14:paraId="7018CCE9">
            <w:pPr>
              <w:spacing w:before="109" w:line="269" w:lineRule="auto"/>
              <w:ind w:left="82" w:right="89" w:firstLine="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（2）所要求的各项内容是否有缺失，能够保持创业计划的完整、全</w:t>
            </w: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面、系统。</w:t>
            </w:r>
          </w:p>
          <w:p w14:paraId="2A9F44FD">
            <w:pPr>
              <w:spacing w:before="107" w:line="220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（3）PPT</w:t>
            </w:r>
            <w:r>
              <w:rPr>
                <w:rFonts w:ascii="SimSun" w:hAnsi="SimSun" w:eastAsia="SimSun" w:cs="SimSun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陈述思路清晰，能够清楚明了地说明介绍整个创业计划。</w:t>
            </w:r>
          </w:p>
        </w:tc>
        <w:tc>
          <w:tcPr>
            <w:tcW w:w="1339" w:type="dxa"/>
            <w:vAlign w:val="top"/>
          </w:tcPr>
          <w:p w14:paraId="2CD551B5"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7A40AEBF"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 w14:paraId="0A488D8D">
            <w:pPr>
              <w:spacing w:before="69" w:line="241" w:lineRule="auto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5"/>
                <w:sz w:val="21"/>
                <w:szCs w:val="21"/>
              </w:rPr>
              <w:t>20</w:t>
            </w:r>
          </w:p>
        </w:tc>
      </w:tr>
      <w:tr w14:paraId="13ED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67" w:hRule="atLeast"/>
        </w:trPr>
        <w:tc>
          <w:tcPr>
            <w:tcW w:w="993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0E21E29D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left w:val="single" w:color="000000" w:sz="4" w:space="0"/>
            </w:tcBorders>
            <w:shd w:val="clear" w:color="auto" w:fill="D0DDEF"/>
            <w:vAlign w:val="top"/>
          </w:tcPr>
          <w:p w14:paraId="4FE0FD06">
            <w:pPr>
              <w:spacing w:line="268" w:lineRule="auto"/>
              <w:rPr>
                <w:rFonts w:ascii="Arial"/>
                <w:sz w:val="21"/>
              </w:rPr>
            </w:pPr>
          </w:p>
          <w:p w14:paraId="2A1D7399">
            <w:pPr>
              <w:spacing w:line="268" w:lineRule="auto"/>
              <w:rPr>
                <w:rFonts w:ascii="Arial"/>
                <w:sz w:val="21"/>
              </w:rPr>
            </w:pPr>
          </w:p>
          <w:p w14:paraId="3EE74F92">
            <w:pPr>
              <w:spacing w:line="269" w:lineRule="auto"/>
              <w:rPr>
                <w:rFonts w:ascii="Arial"/>
                <w:sz w:val="21"/>
              </w:rPr>
            </w:pPr>
          </w:p>
          <w:p w14:paraId="3B131C7E">
            <w:pPr>
              <w:spacing w:before="68" w:line="241" w:lineRule="auto"/>
              <w:ind w:left="30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058" w:type="dxa"/>
            <w:vAlign w:val="top"/>
          </w:tcPr>
          <w:p w14:paraId="12400355">
            <w:pPr>
              <w:spacing w:line="268" w:lineRule="auto"/>
              <w:rPr>
                <w:rFonts w:ascii="Arial"/>
                <w:sz w:val="21"/>
              </w:rPr>
            </w:pPr>
          </w:p>
          <w:p w14:paraId="7D9821DA">
            <w:pPr>
              <w:spacing w:line="268" w:lineRule="auto"/>
              <w:rPr>
                <w:rFonts w:ascii="Arial"/>
                <w:sz w:val="21"/>
              </w:rPr>
            </w:pPr>
          </w:p>
          <w:p w14:paraId="22757D0C">
            <w:pPr>
              <w:spacing w:line="269" w:lineRule="auto"/>
              <w:rPr>
                <w:rFonts w:ascii="Arial"/>
                <w:sz w:val="21"/>
              </w:rPr>
            </w:pPr>
          </w:p>
          <w:p w14:paraId="399833AC">
            <w:pPr>
              <w:spacing w:before="68" w:line="221" w:lineRule="auto"/>
              <w:ind w:left="15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答辩环节</w:t>
            </w:r>
          </w:p>
        </w:tc>
        <w:tc>
          <w:tcPr>
            <w:tcW w:w="6218" w:type="dxa"/>
            <w:vAlign w:val="top"/>
          </w:tcPr>
          <w:p w14:paraId="584D3ECD">
            <w:pPr>
              <w:spacing w:before="183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（1）能否正确理解问题，切题回答。</w:t>
            </w:r>
          </w:p>
          <w:p w14:paraId="7EAAD5F4">
            <w:pPr>
              <w:spacing w:before="108" w:line="220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（2）回答是否精练，措辞是否恰当。</w:t>
            </w:r>
          </w:p>
          <w:p w14:paraId="44AF2F3C">
            <w:pPr>
              <w:spacing w:before="109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（3）回答是否逻辑清晰、结构明确、通顺流畅。</w:t>
            </w:r>
          </w:p>
          <w:p w14:paraId="320F630C">
            <w:pPr>
              <w:spacing w:before="109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（4）应变能力，能够灵活回答的能力。</w:t>
            </w:r>
          </w:p>
          <w:p w14:paraId="53E22ED0">
            <w:pPr>
              <w:spacing w:before="108" w:line="221" w:lineRule="auto"/>
              <w:ind w:left="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（5）回答内容真实可信，运用事实论据，论述有说服力。</w:t>
            </w:r>
          </w:p>
        </w:tc>
        <w:tc>
          <w:tcPr>
            <w:tcW w:w="1339" w:type="dxa"/>
            <w:vAlign w:val="top"/>
          </w:tcPr>
          <w:p w14:paraId="6A687DFE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2C4022C1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782326C4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6A883535">
            <w:pPr>
              <w:spacing w:before="68" w:line="241" w:lineRule="auto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20</w:t>
            </w:r>
          </w:p>
        </w:tc>
      </w:tr>
      <w:tr w14:paraId="34794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0" w:hRule="atLeast"/>
        </w:trPr>
        <w:tc>
          <w:tcPr>
            <w:tcW w:w="993" w:type="dxa"/>
            <w:tcBorders>
              <w:right w:val="nil"/>
            </w:tcBorders>
            <w:vAlign w:val="top"/>
          </w:tcPr>
          <w:p w14:paraId="31198757"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top"/>
          </w:tcPr>
          <w:p w14:paraId="1F4178BF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  <w:vAlign w:val="top"/>
          </w:tcPr>
          <w:p w14:paraId="4ADD17C5">
            <w:pPr>
              <w:rPr>
                <w:rFonts w:ascii="Arial"/>
                <w:sz w:val="21"/>
              </w:rPr>
            </w:pPr>
          </w:p>
        </w:tc>
        <w:tc>
          <w:tcPr>
            <w:tcW w:w="6218" w:type="dxa"/>
            <w:tcBorders>
              <w:left w:val="nil"/>
            </w:tcBorders>
            <w:vAlign w:val="top"/>
          </w:tcPr>
          <w:p w14:paraId="3916E502">
            <w:pPr>
              <w:spacing w:before="183" w:line="220" w:lineRule="auto"/>
              <w:ind w:left="344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b/>
                <w:bCs/>
                <w:spacing w:val="-3"/>
                <w:sz w:val="24"/>
                <w:szCs w:val="24"/>
              </w:rPr>
              <w:t>第二部分：展示与答辩总分</w:t>
            </w:r>
          </w:p>
        </w:tc>
        <w:tc>
          <w:tcPr>
            <w:tcW w:w="1339" w:type="dxa"/>
            <w:vAlign w:val="top"/>
          </w:tcPr>
          <w:p w14:paraId="17EC1062">
            <w:pPr>
              <w:spacing w:before="226" w:line="22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40</w:t>
            </w:r>
          </w:p>
        </w:tc>
      </w:tr>
    </w:tbl>
    <w:p w14:paraId="24E1D492">
      <w:pPr>
        <w:rPr>
          <w:rFonts w:ascii="Arial"/>
          <w:sz w:val="21"/>
        </w:rPr>
      </w:pPr>
    </w:p>
    <w:p w14:paraId="18F976C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147" w:right="787" w:bottom="1475" w:left="797" w:header="0" w:footer="1273" w:gutter="0"/>
          <w:cols w:space="720" w:num="1"/>
        </w:sectPr>
      </w:pPr>
    </w:p>
    <w:p w14:paraId="6D0C99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9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  <w:bookmarkStart w:id="1" w:name="bookmark35"/>
      <w:bookmarkEnd w:id="1"/>
      <w: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  <w:t>扣分标准</w:t>
      </w:r>
    </w:p>
    <w:p w14:paraId="15E02FC0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0"/>
        <w:gridCol w:w="4574"/>
        <w:gridCol w:w="2585"/>
      </w:tblGrid>
      <w:tr w14:paraId="3A6C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</w:trPr>
        <w:tc>
          <w:tcPr>
            <w:tcW w:w="1260" w:type="dxa"/>
            <w:vAlign w:val="center"/>
          </w:tcPr>
          <w:p w14:paraId="1B61A6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序号</w:t>
            </w:r>
          </w:p>
        </w:tc>
        <w:tc>
          <w:tcPr>
            <w:tcW w:w="4574" w:type="dxa"/>
            <w:vAlign w:val="center"/>
          </w:tcPr>
          <w:p w14:paraId="27A126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扣分内容</w:t>
            </w:r>
          </w:p>
        </w:tc>
        <w:tc>
          <w:tcPr>
            <w:tcW w:w="2585" w:type="dxa"/>
            <w:vAlign w:val="center"/>
          </w:tcPr>
          <w:p w14:paraId="34355B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分数</w:t>
            </w:r>
          </w:p>
        </w:tc>
      </w:tr>
      <w:tr w14:paraId="13AA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260" w:type="dxa"/>
            <w:vAlign w:val="center"/>
          </w:tcPr>
          <w:p w14:paraId="2C4D04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1</w:t>
            </w:r>
          </w:p>
        </w:tc>
        <w:tc>
          <w:tcPr>
            <w:tcW w:w="4574" w:type="dxa"/>
            <w:vAlign w:val="center"/>
          </w:tcPr>
          <w:p w14:paraId="5A6759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计划书 / PPT 泄露院校信息</w:t>
            </w:r>
          </w:p>
        </w:tc>
        <w:tc>
          <w:tcPr>
            <w:tcW w:w="2585" w:type="dxa"/>
            <w:vAlign w:val="center"/>
          </w:tcPr>
          <w:p w14:paraId="6CB128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9" w:lineRule="atLeast"/>
              <w:ind w:left="0" w:leftChars="0" w:right="0" w:rightChars="0" w:hanging="36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扣 3 分</w:t>
            </w:r>
          </w:p>
        </w:tc>
      </w:tr>
      <w:tr w14:paraId="24F4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260" w:type="dxa"/>
            <w:vAlign w:val="center"/>
          </w:tcPr>
          <w:p w14:paraId="57FDD6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2</w:t>
            </w:r>
          </w:p>
        </w:tc>
        <w:tc>
          <w:tcPr>
            <w:tcW w:w="4574" w:type="dxa"/>
            <w:vAlign w:val="center"/>
          </w:tcPr>
          <w:p w14:paraId="25092B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展示超时</w:t>
            </w:r>
          </w:p>
        </w:tc>
        <w:tc>
          <w:tcPr>
            <w:tcW w:w="2585" w:type="dxa"/>
            <w:vAlign w:val="center"/>
          </w:tcPr>
          <w:p w14:paraId="63A364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最高扣 3 分</w:t>
            </w:r>
          </w:p>
        </w:tc>
      </w:tr>
      <w:tr w14:paraId="0C7B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1260" w:type="dxa"/>
            <w:vAlign w:val="center"/>
          </w:tcPr>
          <w:p w14:paraId="3A59B57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3</w:t>
            </w:r>
          </w:p>
        </w:tc>
        <w:tc>
          <w:tcPr>
            <w:tcW w:w="4574" w:type="dxa"/>
            <w:vAlign w:val="center"/>
          </w:tcPr>
          <w:p w14:paraId="3AF488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团队成员交叉参赛</w:t>
            </w:r>
          </w:p>
        </w:tc>
        <w:tc>
          <w:tcPr>
            <w:tcW w:w="2585" w:type="dxa"/>
            <w:vAlign w:val="center"/>
          </w:tcPr>
          <w:p w14:paraId="2523BE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9" w:lineRule="atLeast"/>
              <w:ind w:left="0" w:leftChars="0" w:right="0" w:rightChars="0" w:hanging="36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扣 3 分</w:t>
            </w:r>
          </w:p>
        </w:tc>
      </w:tr>
      <w:tr w14:paraId="43D6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260" w:type="dxa"/>
            <w:vAlign w:val="center"/>
          </w:tcPr>
          <w:p w14:paraId="00FA35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  <w:t>4</w:t>
            </w:r>
          </w:p>
        </w:tc>
        <w:tc>
          <w:tcPr>
            <w:tcW w:w="4574" w:type="dxa"/>
            <w:vAlign w:val="center"/>
          </w:tcPr>
          <w:p w14:paraId="026C64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抄袭、造假</w:t>
            </w:r>
          </w:p>
        </w:tc>
        <w:tc>
          <w:tcPr>
            <w:tcW w:w="2585" w:type="dxa"/>
            <w:vAlign w:val="center"/>
          </w:tcPr>
          <w:p w14:paraId="6D7A35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color w:val="1F2329"/>
                <w:sz w:val="28"/>
                <w:szCs w:val="28"/>
              </w:rPr>
              <w:t>直接取消资格</w:t>
            </w:r>
          </w:p>
        </w:tc>
      </w:tr>
    </w:tbl>
    <w:p w14:paraId="0459128C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5776EB9A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42DACAD1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6EBA692B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6D88C87B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3B28DE8B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</w:p>
    <w:p w14:paraId="56E25F48">
      <w:pP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0"/>
          <w:sz w:val="36"/>
          <w:szCs w:val="36"/>
          <w:highlight w:val="none"/>
          <w:lang w:eastAsia="zh-CN" w:bidi="ar-S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imHei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微软雅黑">
    <w:altName w:val="方正雅意黑 GB18030L2 R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6C8E">
    <w:pPr>
      <w:spacing w:line="223" w:lineRule="auto"/>
      <w:ind w:left="48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D2F028A"/>
    <w:rsid w:val="ECFF9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2026-05-24T18:59:00Z</dcterms:created>
  <dc:creator>files</dc:creator>
  <cp:lastModifiedBy>依然</cp:lastModifiedBy>
  <dcterms:modified xsi:type="dcterms:W3CDTF">2026-05-24T14:10:45Z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855D353A158F6FAC576B126A3379727D_42</vt:lpwstr>
  </property>
</Properties>
</file>